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sz w:val="22"/>
          <w:szCs w:val="22"/>
        </w:rPr>
      </w:pPr>
      <w:r>
        <w:rPr>
          <w:sz w:val="22"/>
          <w:szCs w:val="22"/>
        </w:rPr>
      </w:r>
    </w:p>
    <w:tbl>
      <w:tblPr>
        <w:tblW w:w="9763" w:type="dxa"/>
        <w:jc w:val="start"/>
        <w:tblInd w:w="-5" w:type="dxa"/>
        <w:tblLayout w:type="fixed"/>
        <w:tblCellMar>
          <w:top w:w="55" w:type="dxa"/>
          <w:start w:w="55" w:type="dxa"/>
          <w:bottom w:w="55" w:type="dxa"/>
          <w:end w:w="55" w:type="dxa"/>
        </w:tblCellMar>
      </w:tblPr>
      <w:tblGrid>
        <w:gridCol w:w="1760"/>
        <w:gridCol w:w="1987"/>
        <w:gridCol w:w="333"/>
        <w:gridCol w:w="280"/>
        <w:gridCol w:w="293"/>
        <w:gridCol w:w="227"/>
        <w:gridCol w:w="280"/>
        <w:gridCol w:w="270"/>
        <w:gridCol w:w="295"/>
        <w:gridCol w:w="248"/>
        <w:gridCol w:w="1063"/>
        <w:gridCol w:w="296"/>
        <w:gridCol w:w="306"/>
        <w:gridCol w:w="296"/>
        <w:gridCol w:w="259"/>
        <w:gridCol w:w="295"/>
        <w:gridCol w:w="248"/>
        <w:gridCol w:w="260"/>
        <w:gridCol w:w="248"/>
        <w:gridCol w:w="248"/>
        <w:gridCol w:w="271"/>
      </w:tblGrid>
      <w:tr>
        <w:trPr>
          <w:trHeight w:val="453" w:hRule="atLeast"/>
          <w:cantSplit w:val="true"/>
        </w:trPr>
        <w:tc>
          <w:tcPr>
            <w:tcW w:w="1760" w:type="dxa"/>
            <w:tcBorders>
              <w:top w:val="single" w:sz="4" w:space="0" w:color="000000"/>
              <w:start w:val="single" w:sz="4" w:space="0" w:color="000000"/>
              <w:bottom w:val="single" w:sz="4" w:space="0" w:color="000000"/>
            </w:tcBorders>
          </w:tcPr>
          <w:p>
            <w:pPr>
              <w:pStyle w:val="Normal"/>
              <w:bidi w:val="0"/>
              <w:ind w:end="-227"/>
              <w:jc w:val="start"/>
              <w:rPr>
                <w:rFonts w:ascii="ArialNarrow" w:hAnsi="ArialNarrow" w:cs="ArialNarrow"/>
                <w:b w:val="false"/>
                <w:bCs w:val="false"/>
                <w:i w:val="false"/>
                <w:i w:val="false"/>
                <w:iCs w:val="false"/>
                <w:strike w:val="false"/>
                <w:dstrike w:val="false"/>
                <w:outline w:val="false"/>
                <w:shadow w:val="false"/>
                <w:color w:val="000000"/>
                <w:kern w:val="2"/>
                <w:sz w:val="22"/>
                <w:szCs w:val="22"/>
                <w:u w:val="none"/>
              </w:rPr>
            </w:pPr>
            <w:r>
              <w:rPr>
                <w:rFonts w:cs="ArialNarrow" w:ascii="ArialNarrow" w:hAnsi="ArialNarrow"/>
                <w:b w:val="false"/>
                <w:bCs w:val="false"/>
                <w:i w:val="false"/>
                <w:iCs w:val="false"/>
                <w:strike w:val="false"/>
                <w:dstrike w:val="false"/>
                <w:outline w:val="false"/>
                <w:shadow w:val="false"/>
                <w:color w:val="000000"/>
                <w:kern w:val="2"/>
                <w:sz w:val="22"/>
                <w:szCs w:val="22"/>
                <w:u w:val="none"/>
              </w:rPr>
              <w:t xml:space="preserve">Poznámky Úč MÚJ </w:t>
            </w:r>
          </w:p>
        </w:tc>
        <w:tc>
          <w:tcPr>
            <w:tcW w:w="1987" w:type="dxa"/>
            <w:tcBorders>
              <w:top w:val="single" w:sz="4" w:space="0" w:color="000000"/>
              <w:start w:val="single" w:sz="4" w:space="0" w:color="000000"/>
              <w:bottom w:val="single" w:sz="4" w:space="0" w:color="000000"/>
            </w:tcBorders>
          </w:tcPr>
          <w:p>
            <w:pPr>
              <w:pStyle w:val="Obsahtabuky"/>
              <w:bidi w:val="0"/>
              <w:jc w:val="end"/>
              <w:rPr>
                <w:b w:val="false"/>
                <w:bCs w:val="false"/>
                <w:i w:val="false"/>
                <w:i w:val="false"/>
                <w:iCs w:val="false"/>
                <w:strike w:val="false"/>
                <w:dstrike w:val="false"/>
                <w:outline w:val="false"/>
                <w:shadow w:val="false"/>
                <w:color w:val="000000"/>
                <w:sz w:val="26"/>
                <w:szCs w:val="26"/>
                <w:u w:val="none"/>
              </w:rPr>
            </w:pPr>
            <w:r>
              <w:rPr>
                <w:b w:val="false"/>
                <w:bCs w:val="false"/>
                <w:i w:val="false"/>
                <w:iCs w:val="false"/>
                <w:strike w:val="false"/>
                <w:dstrike w:val="false"/>
                <w:outline w:val="false"/>
                <w:shadow w:val="false"/>
                <w:color w:val="000000"/>
                <w:sz w:val="26"/>
                <w:szCs w:val="26"/>
                <w:u w:val="none"/>
              </w:rPr>
              <w:t>IČO</w:t>
            </w:r>
          </w:p>
        </w:tc>
        <w:tc>
          <w:tcPr>
            <w:tcW w:w="333"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3</w:t>
            </w:r>
          </w:p>
        </w:tc>
        <w:tc>
          <w:tcPr>
            <w:tcW w:w="28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6</w:t>
            </w:r>
          </w:p>
        </w:tc>
        <w:tc>
          <w:tcPr>
            <w:tcW w:w="293"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27"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8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7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95"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3</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8</w:t>
            </w:r>
          </w:p>
        </w:tc>
        <w:tc>
          <w:tcPr>
            <w:tcW w:w="1063" w:type="dxa"/>
            <w:tcBorders>
              <w:top w:val="single" w:sz="4" w:space="0" w:color="000000"/>
              <w:start w:val="single" w:sz="4" w:space="0" w:color="000000"/>
              <w:bottom w:val="single" w:sz="4" w:space="0" w:color="000000"/>
            </w:tcBorders>
          </w:tcPr>
          <w:p>
            <w:pPr>
              <w:pStyle w:val="Obsahtabuky"/>
              <w:bidi w:val="0"/>
              <w:jc w:val="end"/>
              <w:rPr>
                <w:b w:val="false"/>
                <w:bCs w:val="false"/>
                <w:i w:val="false"/>
                <w:i w:val="false"/>
                <w:iCs w:val="false"/>
                <w:strike w:val="false"/>
                <w:dstrike w:val="false"/>
                <w:outline w:val="false"/>
                <w:shadow w:val="false"/>
                <w:color w:val="000000"/>
                <w:sz w:val="26"/>
                <w:szCs w:val="26"/>
                <w:u w:val="none"/>
              </w:rPr>
            </w:pPr>
            <w:r>
              <w:rPr>
                <w:b w:val="false"/>
                <w:bCs w:val="false"/>
                <w:i w:val="false"/>
                <w:iCs w:val="false"/>
                <w:strike w:val="false"/>
                <w:dstrike w:val="false"/>
                <w:outline w:val="false"/>
                <w:shadow w:val="false"/>
                <w:color w:val="000000"/>
                <w:sz w:val="26"/>
                <w:szCs w:val="26"/>
                <w:u w:val="none"/>
              </w:rPr>
              <w:t>DIČ</w:t>
            </w:r>
          </w:p>
        </w:tc>
        <w:tc>
          <w:tcPr>
            <w:tcW w:w="29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30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0</w:t>
            </w:r>
          </w:p>
        </w:tc>
        <w:tc>
          <w:tcPr>
            <w:tcW w:w="29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259"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95"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7</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6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9</w:t>
            </w:r>
          </w:p>
        </w:tc>
        <w:tc>
          <w:tcPr>
            <w:tcW w:w="271" w:type="dxa"/>
            <w:tcBorders>
              <w:top w:val="single" w:sz="4" w:space="0" w:color="000000"/>
              <w:start w:val="single" w:sz="4" w:space="0" w:color="000000"/>
              <w:bottom w:val="single" w:sz="4" w:space="0" w:color="000000"/>
              <w:end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6</w:t>
            </w:r>
          </w:p>
        </w:tc>
      </w:tr>
    </w:tbl>
    <w:p>
      <w:pPr>
        <w:pStyle w:val="Normal"/>
        <w:bidi w:val="0"/>
        <w:jc w:val="start"/>
        <w:rPr>
          <w:sz w:val="22"/>
          <w:szCs w:val="22"/>
        </w:rPr>
      </w:pPr>
      <w:r>
        <w:rPr>
          <w:sz w:val="22"/>
          <w:szCs w:val="22"/>
        </w:rPr>
      </w:r>
    </w:p>
    <w:p>
      <w:pPr>
        <w:pStyle w:val="Normal"/>
        <w:bidi w:val="0"/>
        <w:jc w:val="center"/>
        <w:rPr/>
      </w:pPr>
      <w:r>
        <w:rPr>
          <w:rFonts w:cs="Liberation Serif;Times New Roman" w:ascii="Liberation Serif;Times New Roman" w:hAnsi="Liberation Serif;Times New Roman"/>
          <w:b/>
          <w:bCs/>
          <w:sz w:val="22"/>
          <w:szCs w:val="22"/>
        </w:rPr>
        <w:t>POZNÁMKY  K ÚČTOVNEJ UZÁVIERKE ZA ROK 2024</w:t>
      </w:r>
    </w:p>
    <w:p>
      <w:pPr>
        <w:pStyle w:val="Normal"/>
        <w:bidi w:val="0"/>
        <w:jc w:val="start"/>
        <w:rPr>
          <w:rFonts w:ascii="Liberation Serif;Times New Roman" w:hAnsi="Liberation Serif;Times New Roman" w:cs="Liberation Serif;Times New Roman"/>
          <w:sz w:val="22"/>
          <w:szCs w:val="22"/>
        </w:rPr>
      </w:pPr>
      <w:r>
        <w:rPr>
          <w:rFonts w:cs="Liberation Serif;Times New Roman" w:ascii="Liberation Serif;Times New Roman" w:hAnsi="Liberation Serif;Times New Roman"/>
          <w:sz w:val="22"/>
          <w:szCs w:val="22"/>
        </w:rPr>
      </w:r>
    </w:p>
    <w:p>
      <w:pPr>
        <w:pStyle w:val="Normal"/>
        <w:bidi w:val="0"/>
        <w:jc w:val="start"/>
        <w:rPr/>
      </w:pPr>
      <w:r>
        <w:rPr>
          <w:rFonts w:cs="Liberation Serif;Times New Roman" w:ascii="Liberation Serif;Times New Roman" w:hAnsi="Liberation Serif;Times New Roman"/>
          <w:sz w:val="22"/>
          <w:szCs w:val="22"/>
        </w:rPr>
        <w:tab/>
      </w:r>
      <w:r>
        <w:rPr>
          <w:rFonts w:cs="Liberation Serif;Times New Roman" w:ascii="Liberation Serif;Times New Roman" w:hAnsi="Liberation Serif;Times New Roman"/>
          <w:b/>
          <w:bCs/>
          <w:sz w:val="22"/>
          <w:szCs w:val="22"/>
        </w:rPr>
        <w:t>A. VŠEOBECNÉ ÚDAJE</w:t>
      </w:r>
    </w:p>
    <w:p>
      <w:pPr>
        <w:pStyle w:val="Normal"/>
        <w:bidi w:val="0"/>
        <w:jc w:val="start"/>
        <w:rPr>
          <w:rFonts w:ascii="Liberation Serif;Times New Roman" w:hAnsi="Liberation Serif;Times New Roman" w:cs="Liberation Serif;Times New Roman"/>
          <w:sz w:val="22"/>
          <w:szCs w:val="22"/>
        </w:rPr>
      </w:pPr>
      <w:r>
        <w:rPr>
          <w:rFonts w:cs="Liberation Serif;Times New Roman" w:ascii="Liberation Serif;Times New Roman" w:hAnsi="Liberation Serif;Times New Roman"/>
          <w:sz w:val="22"/>
          <w:szCs w:val="22"/>
        </w:rPr>
      </w:r>
    </w:p>
    <w:p>
      <w:pPr>
        <w:pStyle w:val="Normal"/>
        <w:bidi w:val="0"/>
        <w:jc w:val="start"/>
        <w:rPr/>
      </w:pPr>
      <w:r>
        <w:rPr>
          <w:rFonts w:eastAsia="Times New Roman" w:cs="Times New Roman" w:ascii="Times New Roman" w:hAnsi="Times New Roman"/>
          <w:sz w:val="22"/>
          <w:szCs w:val="22"/>
        </w:rPr>
        <w:t xml:space="preserve"> </w:t>
      </w:r>
      <w:r>
        <w:rPr>
          <w:rFonts w:cs="Times New Roman" w:ascii="Times New Roman" w:hAnsi="Times New Roman"/>
          <w:b w:val="false"/>
          <w:i w:val="false"/>
          <w:color w:val="000000"/>
          <w:sz w:val="22"/>
          <w:szCs w:val="22"/>
        </w:rPr>
        <w:t>1. Údaje o spoločnosti</w:t>
      </w:r>
    </w:p>
    <w:p>
      <w:pPr>
        <w:pStyle w:val="Normal"/>
        <w:bidi w:val="0"/>
        <w:jc w:val="start"/>
        <w:rPr/>
      </w:pPr>
      <w:r>
        <w:rPr>
          <w:rFonts w:cs="Times New Roman" w:ascii="Times New Roman" w:hAnsi="Times New Roman"/>
          <w:b w:val="false"/>
          <w:i w:val="false"/>
          <w:color w:val="000000"/>
          <w:sz w:val="22"/>
          <w:szCs w:val="22"/>
        </w:rPr>
        <w:t xml:space="preserve">Obchodné meno: </w:t>
        <w:tab/>
      </w:r>
      <w:r>
        <w:rPr>
          <w:rFonts w:eastAsia="NSimSun" w:cs="Times New Roman" w:ascii="Times New Roman" w:hAnsi="Times New Roman"/>
          <w:b w:val="false"/>
          <w:i w:val="false"/>
          <w:color w:val="000000"/>
          <w:kern w:val="2"/>
          <w:sz w:val="22"/>
          <w:szCs w:val="22"/>
          <w:lang w:val="sk-SK" w:eastAsia="zh-CN" w:bidi="hi-IN"/>
        </w:rPr>
        <w:t>GRIFF Komárno</w:t>
      </w:r>
      <w:r>
        <w:rPr>
          <w:rFonts w:cs="Times New Roman" w:ascii="Times New Roman" w:hAnsi="Times New Roman"/>
          <w:b w:val="false"/>
          <w:i w:val="false"/>
          <w:color w:val="000000"/>
          <w:sz w:val="22"/>
          <w:szCs w:val="22"/>
        </w:rPr>
        <w:t>, s. r. o..</w:t>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 xml:space="preserve">Sídlo: </w:t>
        <w:tab/>
        <w:tab/>
        <w:tab/>
        <w:t>Bratislavská cesta 3192, 945 01 Komárno</w:t>
      </w:r>
    </w:p>
    <w:p>
      <w:pPr>
        <w:pStyle w:val="Normal"/>
        <w:bidi w:val="0"/>
        <w:jc w:val="start"/>
        <w:rPr/>
      </w:pPr>
      <w:r>
        <w:rPr>
          <w:rFonts w:cs="Times New Roman" w:ascii="Times New Roman" w:hAnsi="Times New Roman"/>
          <w:b w:val="false"/>
          <w:i w:val="false"/>
          <w:color w:val="000000"/>
          <w:sz w:val="22"/>
          <w:szCs w:val="22"/>
        </w:rPr>
        <w:t xml:space="preserve">Spoločnosť </w:t>
      </w:r>
      <w:r>
        <w:rPr>
          <w:rFonts w:eastAsia="NSimSun" w:cs="Times New Roman" w:ascii="Times New Roman" w:hAnsi="Times New Roman"/>
          <w:b w:val="false"/>
          <w:i w:val="false"/>
          <w:color w:val="000000"/>
          <w:kern w:val="2"/>
          <w:sz w:val="22"/>
          <w:szCs w:val="22"/>
          <w:lang w:val="sk-SK" w:eastAsia="zh-CN" w:bidi="hi-IN"/>
        </w:rPr>
        <w:t>GRIFF Komárno</w:t>
      </w:r>
      <w:r>
        <w:rPr>
          <w:rFonts w:cs="Times New Roman" w:ascii="Times New Roman" w:hAnsi="Times New Roman"/>
          <w:b w:val="false"/>
          <w:i w:val="false"/>
          <w:color w:val="000000"/>
          <w:sz w:val="22"/>
          <w:szCs w:val="22"/>
        </w:rPr>
        <w:t xml:space="preserve">, s. r. o. bola do obchodného registra zapísaná 27. februára 2003 </w:t>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Obchodný register Okresného súdu Nitra, oddiel: Sro, vložka číslo: 13720/N.</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Predmety činnosti:</w:t>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 xml:space="preserve">- Prevádzkovanie strážnej služby podľa § 3 zákona č. 473/2005 Z.z. v rozsahu: a) ochrana majetku na verejne prístupnom mieste, b) ochrana majetku na inom než verejne prístupnom mieste,c)ochrana osoby, d) ochrana majetku a osoby pri preprave, e)ochrana prepravy majetku a osoby, f) zabezpečovanie poriadku na mieste zhromažďovania osôb, g) prevádzkovanie zabezpečovacieho systému alebo poplachového systému, prevádzkovanie ich častí, vyhodnocovanie narušenia chráneného objektu alebo chráneného miesta, h) vypracúvanie plánu ochrany </w:t>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 Poskytovanie služieb informátora</w:t>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 Kúpa tovaru za účelom jeho predaja konečnému spotrebiteľovi (maloobchod) alebo iným prevádzkovateľom živnosti(veľkoobchod)</w:t>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 Sprostredkovateľská činnosť v oblasti obchodu, služieb a výroby</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2. Údaje o konsolidovanom celku</w:t>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Spoločnosť nie je súčasťou konsolidovaného celku.</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sz w:val="22"/>
          <w:szCs w:val="22"/>
        </w:rPr>
      </w:pPr>
      <w:r>
        <w:rPr>
          <w:rFonts w:cs="Times New Roman" w:ascii="Times New Roman" w:hAnsi="Times New Roman"/>
          <w:b w:val="false"/>
          <w:i w:val="false"/>
          <w:color w:val="000000"/>
          <w:sz w:val="22"/>
          <w:szCs w:val="22"/>
        </w:rPr>
        <w:t>3. Priemerný prepočítaný počet zamestnancov:</w:t>
      </w:r>
    </w:p>
    <w:tbl>
      <w:tblPr>
        <w:tblW w:w="9708" w:type="dxa"/>
        <w:jc w:val="start"/>
        <w:tblInd w:w="-5" w:type="dxa"/>
        <w:tblLayout w:type="fixed"/>
        <w:tblCellMar>
          <w:top w:w="55" w:type="dxa"/>
          <w:start w:w="55" w:type="dxa"/>
          <w:bottom w:w="55" w:type="dxa"/>
          <w:end w:w="55" w:type="dxa"/>
        </w:tblCellMar>
      </w:tblPr>
      <w:tblGrid>
        <w:gridCol w:w="3907"/>
        <w:gridCol w:w="2518"/>
        <w:gridCol w:w="3283"/>
      </w:tblGrid>
      <w:tr>
        <w:trPr/>
        <w:tc>
          <w:tcPr>
            <w:tcW w:w="3907" w:type="dxa"/>
            <w:tcBorders>
              <w:top w:val="single" w:sz="4" w:space="0" w:color="000000"/>
              <w:start w:val="single" w:sz="4" w:space="0" w:color="000000"/>
              <w:bottom w:val="single" w:sz="4" w:space="0" w:color="000000"/>
            </w:tcBorders>
          </w:tcPr>
          <w:p>
            <w:pPr>
              <w:pStyle w:val="Obsahtabuky"/>
              <w:keepNext w:val="true"/>
              <w:bidi w:val="0"/>
              <w:jc w:val="start"/>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Názov položky</w:t>
            </w:r>
          </w:p>
        </w:tc>
        <w:tc>
          <w:tcPr>
            <w:tcW w:w="2518" w:type="dxa"/>
            <w:tcBorders>
              <w:top w:val="single" w:sz="4" w:space="0" w:color="000000"/>
              <w:start w:val="single" w:sz="4" w:space="0" w:color="000000"/>
              <w:bottom w:val="single" w:sz="4" w:space="0" w:color="000000"/>
            </w:tcBorders>
          </w:tcPr>
          <w:p>
            <w:pPr>
              <w:pStyle w:val="Obsahtabuky"/>
              <w:bidi w:val="0"/>
              <w:jc w:val="start"/>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Bežné účtovné obdobie</w:t>
            </w:r>
          </w:p>
        </w:tc>
        <w:tc>
          <w:tcPr>
            <w:tcW w:w="3283" w:type="dxa"/>
            <w:tcBorders>
              <w:top w:val="single" w:sz="4" w:space="0" w:color="000000"/>
              <w:start w:val="single" w:sz="4" w:space="0" w:color="000000"/>
              <w:bottom w:val="single" w:sz="4" w:space="0" w:color="000000"/>
              <w:end w:val="single" w:sz="4" w:space="0" w:color="000000"/>
            </w:tcBorders>
          </w:tcPr>
          <w:p>
            <w:pPr>
              <w:pStyle w:val="Obsahtabuky"/>
              <w:bidi w:val="0"/>
              <w:jc w:val="start"/>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Bezprostredne predchádzajúce účtovné obdobie</w:t>
            </w:r>
          </w:p>
        </w:tc>
      </w:tr>
      <w:tr>
        <w:trPr/>
        <w:tc>
          <w:tcPr>
            <w:tcW w:w="3907" w:type="dxa"/>
            <w:tcBorders>
              <w:start w:val="single" w:sz="4" w:space="0" w:color="000000"/>
              <w:bottom w:val="single" w:sz="4" w:space="0" w:color="000000"/>
            </w:tcBorders>
          </w:tcPr>
          <w:p>
            <w:pPr>
              <w:pStyle w:val="Obsahtabuky"/>
              <w:keepNext w:val="true"/>
              <w:bidi w:val="0"/>
              <w:jc w:val="start"/>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Priemerný prepočítaný počet zamestnancov</w:t>
            </w:r>
          </w:p>
        </w:tc>
        <w:tc>
          <w:tcPr>
            <w:tcW w:w="2518" w:type="dxa"/>
            <w:tcBorders>
              <w:start w:val="single" w:sz="4" w:space="0" w:color="000000"/>
              <w:bottom w:val="single" w:sz="4" w:space="0" w:color="000000"/>
            </w:tcBorders>
          </w:tcPr>
          <w:p>
            <w:pPr>
              <w:pStyle w:val="Obsahtabuky"/>
              <w:bidi w:val="0"/>
              <w:jc w:val="center"/>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6</w:t>
            </w:r>
          </w:p>
        </w:tc>
        <w:tc>
          <w:tcPr>
            <w:tcW w:w="3283" w:type="dxa"/>
            <w:tcBorders>
              <w:start w:val="single" w:sz="4" w:space="0" w:color="000000"/>
              <w:bottom w:val="single" w:sz="4" w:space="0" w:color="000000"/>
              <w:end w:val="single" w:sz="4" w:space="0" w:color="000000"/>
            </w:tcBorders>
          </w:tcPr>
          <w:p>
            <w:pPr>
              <w:pStyle w:val="Obsahtabuky"/>
              <w:bidi w:val="0"/>
              <w:jc w:val="center"/>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9</w:t>
            </w:r>
          </w:p>
        </w:tc>
      </w:tr>
      <w:tr>
        <w:trPr/>
        <w:tc>
          <w:tcPr>
            <w:tcW w:w="3907" w:type="dxa"/>
            <w:tcBorders>
              <w:start w:val="single" w:sz="4" w:space="0" w:color="000000"/>
              <w:bottom w:val="single" w:sz="4" w:space="0" w:color="000000"/>
            </w:tcBorders>
          </w:tcPr>
          <w:p>
            <w:pPr>
              <w:pStyle w:val="Obsahtabuky"/>
              <w:keepNext w:val="true"/>
              <w:bidi w:val="0"/>
              <w:jc w:val="start"/>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Stav zamestnancov ku dňu, ku ktorému sa zostavuje účtovná závierka, z toho:</w:t>
            </w:r>
          </w:p>
        </w:tc>
        <w:tc>
          <w:tcPr>
            <w:tcW w:w="2518" w:type="dxa"/>
            <w:tcBorders>
              <w:start w:val="single" w:sz="4" w:space="0" w:color="000000"/>
              <w:bottom w:val="single" w:sz="4" w:space="0" w:color="000000"/>
            </w:tcBorders>
          </w:tcPr>
          <w:p>
            <w:pPr>
              <w:pStyle w:val="Obsahtabuky"/>
              <w:bidi w:val="0"/>
              <w:jc w:val="center"/>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6</w:t>
            </w:r>
          </w:p>
        </w:tc>
        <w:tc>
          <w:tcPr>
            <w:tcW w:w="3283" w:type="dxa"/>
            <w:tcBorders>
              <w:start w:val="single" w:sz="4" w:space="0" w:color="000000"/>
              <w:bottom w:val="single" w:sz="4" w:space="0" w:color="000000"/>
              <w:end w:val="single" w:sz="4" w:space="0" w:color="000000"/>
            </w:tcBorders>
          </w:tcPr>
          <w:p>
            <w:pPr>
              <w:pStyle w:val="Obsahtabuky"/>
              <w:bidi w:val="0"/>
              <w:jc w:val="center"/>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9</w:t>
            </w:r>
          </w:p>
        </w:tc>
      </w:tr>
      <w:tr>
        <w:trPr/>
        <w:tc>
          <w:tcPr>
            <w:tcW w:w="3907" w:type="dxa"/>
            <w:tcBorders>
              <w:start w:val="single" w:sz="4" w:space="0" w:color="000000"/>
              <w:bottom w:val="single" w:sz="4" w:space="0" w:color="000000"/>
            </w:tcBorders>
          </w:tcPr>
          <w:p>
            <w:pPr>
              <w:pStyle w:val="Obsahtabuky"/>
              <w:bidi w:val="0"/>
              <w:jc w:val="start"/>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Počet vedúcich zamestnancov</w:t>
            </w:r>
          </w:p>
        </w:tc>
        <w:tc>
          <w:tcPr>
            <w:tcW w:w="2518" w:type="dxa"/>
            <w:tcBorders>
              <w:start w:val="single" w:sz="4" w:space="0" w:color="000000"/>
              <w:bottom w:val="single" w:sz="4" w:space="0" w:color="000000"/>
            </w:tcBorders>
          </w:tcPr>
          <w:p>
            <w:pPr>
              <w:pStyle w:val="Obsahtabuky"/>
              <w:bidi w:val="0"/>
              <w:jc w:val="center"/>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1</w:t>
            </w:r>
          </w:p>
        </w:tc>
        <w:tc>
          <w:tcPr>
            <w:tcW w:w="3283" w:type="dxa"/>
            <w:tcBorders>
              <w:start w:val="single" w:sz="4" w:space="0" w:color="000000"/>
              <w:bottom w:val="single" w:sz="4" w:space="0" w:color="000000"/>
              <w:end w:val="single" w:sz="4" w:space="0" w:color="000000"/>
            </w:tcBorders>
          </w:tcPr>
          <w:p>
            <w:pPr>
              <w:pStyle w:val="Obsahtabuky"/>
              <w:bidi w:val="0"/>
              <w:jc w:val="center"/>
              <w:rPr>
                <w:rFonts w:ascii="Times New Roman" w:hAnsi="Times New Roman" w:cs="Times New Roman"/>
                <w:b w:val="false"/>
                <w:bCs w:val="false"/>
                <w:i w:val="false"/>
                <w:i w:val="false"/>
                <w:iCs w:val="false"/>
                <w:strike w:val="false"/>
                <w:dstrike w:val="false"/>
                <w:outline w:val="false"/>
                <w:shadow w:val="false"/>
                <w:color w:val="000000"/>
                <w:sz w:val="22"/>
                <w:szCs w:val="22"/>
                <w:u w:val="none"/>
              </w:rPr>
            </w:pPr>
            <w:r>
              <w:rPr>
                <w:rFonts w:cs="Times New Roman" w:ascii="Times New Roman" w:hAnsi="Times New Roman"/>
                <w:b w:val="false"/>
                <w:bCs w:val="false"/>
                <w:i w:val="false"/>
                <w:iCs w:val="false"/>
                <w:strike w:val="false"/>
                <w:dstrike w:val="false"/>
                <w:outline w:val="false"/>
                <w:shadow w:val="false"/>
                <w:color w:val="000000"/>
                <w:sz w:val="22"/>
                <w:szCs w:val="22"/>
                <w:u w:val="none"/>
              </w:rPr>
              <w:t>1</w:t>
            </w:r>
          </w:p>
        </w:tc>
      </w:tr>
    </w:tbl>
    <w:p>
      <w:pPr>
        <w:pStyle w:val="Normal"/>
        <w:bidi w:val="0"/>
        <w:jc w:val="start"/>
        <w:rPr>
          <w:rFonts w:ascii="Liberation Serif;Times New Roman" w:hAnsi="Liberation Serif;Times New Roman" w:cs="Liberation Serif;Times New Roman"/>
          <w:sz w:val="22"/>
          <w:szCs w:val="22"/>
        </w:rPr>
      </w:pPr>
      <w:r>
        <w:rPr>
          <w:rFonts w:cs="Liberation Serif;Times New Roman" w:ascii="Liberation Serif;Times New Roman" w:hAnsi="Liberation Serif;Times New Roman"/>
          <w:sz w:val="22"/>
          <w:szCs w:val="22"/>
        </w:rPr>
      </w:r>
    </w:p>
    <w:p>
      <w:pPr>
        <w:pStyle w:val="Normal"/>
        <w:bidi w:val="0"/>
        <w:jc w:val="start"/>
        <w:rPr>
          <w:rFonts w:ascii="Liberation Serif;Times New Roman" w:hAnsi="Liberation Serif;Times New Roman" w:cs="Liberation Serif;Times New Roman"/>
          <w:b/>
          <w:i w:val="false"/>
          <w:i w:val="false"/>
          <w:color w:val="000000"/>
          <w:kern w:val="2"/>
          <w:sz w:val="22"/>
          <w:szCs w:val="22"/>
        </w:rPr>
      </w:pPr>
      <w:r>
        <w:rPr>
          <w:rFonts w:cs="Liberation Serif;Times New Roman" w:ascii="Liberation Serif;Times New Roman" w:hAnsi="Liberation Serif;Times New Roman"/>
          <w:b/>
          <w:i w:val="false"/>
          <w:color w:val="000000"/>
          <w:kern w:val="2"/>
          <w:sz w:val="22"/>
          <w:szCs w:val="22"/>
        </w:rPr>
        <w:tab/>
        <w:t>B. INFORMÁCIE O PRIJATÝCH POSTUPOCH</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1.    Informácia, či je účtovná závierka zostavená za splnenia predpokladu, že účtovná jednotka bude nepretržite pokračovať vo svojej činnosti:</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Účtovná závierka je zostavená za predpokladu plynulého pokračovania v činnosti spoločnosti.</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2.    Spôsob oceňovania jednotlivých položiek majetku a záväzkov:</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a. Dlhodobý nehmotný majetok, dlhodobý hmotný majetok a dlhodobý finančný majetok</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Dlhodobý hmotný a dlhodobý nehmotný majetok nakupovaný sa oceňuje obstarávacou cenou, ktorá zahŕňa cenu obstarania a náklady súvisiace s obstaraním (clo, prepravu, montáž, poistné a pod.).</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Súčasťou obstarávacej ceny dlhodobého hmotného majetku nie sú úroky z úverov ani realizované kurzové rozdiely, ktoré vznikli do momentu uvedenia dlhodobého majetku do používania. Odpisy dlhodobého hmotného majetku sú stanovené vychádzajúc z predpokladanej doby jeho používania a predpokladaného priebehu jeho opotrebenia. Odpisovať sa začína v mesiaci uvedenia dlhodobého majetku do používania. Drobný dlhodobý hmotný majetok, ktorého obstarávacia cena je 1 700 EUR a nižšia, sa odpisuje jednorazovo pri uvedení do používania.</w:t>
      </w:r>
    </w:p>
    <w:p>
      <w:pPr>
        <w:sectPr>
          <w:type w:val="nextPage"/>
          <w:pgSz w:w="11906" w:h="16838"/>
          <w:pgMar w:left="1134" w:right="1134" w:gutter="0" w:header="0" w:top="1134" w:footer="0" w:bottom="1134"/>
          <w:pgNumType w:fmt="decimal"/>
          <w:formProt w:val="false"/>
          <w:textDirection w:val="lrTb"/>
        </w:sect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Podnik nenakupoval dlhodobý majetok a vytvoril dlhodobý majetok s vlastnou činnosťou.</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tbl>
      <w:tblPr>
        <w:tblW w:w="9763" w:type="dxa"/>
        <w:jc w:val="start"/>
        <w:tblInd w:w="-5" w:type="dxa"/>
        <w:tblLayout w:type="fixed"/>
        <w:tblCellMar>
          <w:top w:w="55" w:type="dxa"/>
          <w:start w:w="55" w:type="dxa"/>
          <w:bottom w:w="55" w:type="dxa"/>
          <w:end w:w="55" w:type="dxa"/>
        </w:tblCellMar>
      </w:tblPr>
      <w:tblGrid>
        <w:gridCol w:w="1760"/>
        <w:gridCol w:w="1987"/>
        <w:gridCol w:w="333"/>
        <w:gridCol w:w="280"/>
        <w:gridCol w:w="293"/>
        <w:gridCol w:w="227"/>
        <w:gridCol w:w="280"/>
        <w:gridCol w:w="270"/>
        <w:gridCol w:w="295"/>
        <w:gridCol w:w="248"/>
        <w:gridCol w:w="1063"/>
        <w:gridCol w:w="296"/>
        <w:gridCol w:w="306"/>
        <w:gridCol w:w="296"/>
        <w:gridCol w:w="259"/>
        <w:gridCol w:w="295"/>
        <w:gridCol w:w="248"/>
        <w:gridCol w:w="260"/>
        <w:gridCol w:w="248"/>
        <w:gridCol w:w="248"/>
        <w:gridCol w:w="271"/>
      </w:tblGrid>
      <w:tr>
        <w:trPr>
          <w:trHeight w:val="453" w:hRule="atLeast"/>
          <w:cantSplit w:val="true"/>
        </w:trPr>
        <w:tc>
          <w:tcPr>
            <w:tcW w:w="1760" w:type="dxa"/>
            <w:tcBorders>
              <w:top w:val="single" w:sz="4" w:space="0" w:color="000000"/>
              <w:start w:val="single" w:sz="4" w:space="0" w:color="000000"/>
              <w:bottom w:val="single" w:sz="4" w:space="0" w:color="000000"/>
            </w:tcBorders>
          </w:tcPr>
          <w:p>
            <w:pPr>
              <w:pStyle w:val="Normal"/>
              <w:bidi w:val="0"/>
              <w:ind w:end="-227"/>
              <w:jc w:val="start"/>
              <w:rPr>
                <w:rFonts w:ascii="ArialNarrow" w:hAnsi="ArialNarrow" w:cs="ArialNarrow"/>
                <w:b w:val="false"/>
                <w:bCs w:val="false"/>
                <w:i w:val="false"/>
                <w:i w:val="false"/>
                <w:iCs w:val="false"/>
                <w:strike w:val="false"/>
                <w:dstrike w:val="false"/>
                <w:outline w:val="false"/>
                <w:shadow w:val="false"/>
                <w:color w:val="000000"/>
                <w:kern w:val="2"/>
                <w:sz w:val="22"/>
                <w:szCs w:val="22"/>
                <w:u w:val="none"/>
              </w:rPr>
            </w:pPr>
            <w:r>
              <w:rPr>
                <w:rFonts w:cs="ArialNarrow" w:ascii="ArialNarrow" w:hAnsi="ArialNarrow"/>
                <w:b w:val="false"/>
                <w:bCs w:val="false"/>
                <w:i w:val="false"/>
                <w:iCs w:val="false"/>
                <w:strike w:val="false"/>
                <w:dstrike w:val="false"/>
                <w:outline w:val="false"/>
                <w:shadow w:val="false"/>
                <w:color w:val="000000"/>
                <w:kern w:val="2"/>
                <w:sz w:val="22"/>
                <w:szCs w:val="22"/>
                <w:u w:val="none"/>
              </w:rPr>
              <w:t xml:space="preserve">Poznámky Úč MÚJ </w:t>
            </w:r>
          </w:p>
        </w:tc>
        <w:tc>
          <w:tcPr>
            <w:tcW w:w="1987" w:type="dxa"/>
            <w:tcBorders>
              <w:top w:val="single" w:sz="4" w:space="0" w:color="000000"/>
              <w:start w:val="single" w:sz="4" w:space="0" w:color="000000"/>
              <w:bottom w:val="single" w:sz="4" w:space="0" w:color="000000"/>
            </w:tcBorders>
          </w:tcPr>
          <w:p>
            <w:pPr>
              <w:pStyle w:val="Obsahtabuky"/>
              <w:bidi w:val="0"/>
              <w:jc w:val="end"/>
              <w:rPr>
                <w:b w:val="false"/>
                <w:bCs w:val="false"/>
                <w:i w:val="false"/>
                <w:i w:val="false"/>
                <w:iCs w:val="false"/>
                <w:strike w:val="false"/>
                <w:dstrike w:val="false"/>
                <w:outline w:val="false"/>
                <w:shadow w:val="false"/>
                <w:color w:val="000000"/>
                <w:sz w:val="26"/>
                <w:szCs w:val="26"/>
                <w:u w:val="none"/>
              </w:rPr>
            </w:pPr>
            <w:r>
              <w:rPr>
                <w:b w:val="false"/>
                <w:bCs w:val="false"/>
                <w:i w:val="false"/>
                <w:iCs w:val="false"/>
                <w:strike w:val="false"/>
                <w:dstrike w:val="false"/>
                <w:outline w:val="false"/>
                <w:shadow w:val="false"/>
                <w:color w:val="000000"/>
                <w:sz w:val="26"/>
                <w:szCs w:val="26"/>
                <w:u w:val="none"/>
              </w:rPr>
              <w:t>IČO</w:t>
            </w:r>
          </w:p>
        </w:tc>
        <w:tc>
          <w:tcPr>
            <w:tcW w:w="333"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3</w:t>
            </w:r>
          </w:p>
        </w:tc>
        <w:tc>
          <w:tcPr>
            <w:tcW w:w="28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6</w:t>
            </w:r>
          </w:p>
        </w:tc>
        <w:tc>
          <w:tcPr>
            <w:tcW w:w="293"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27"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8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7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95"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3</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8</w:t>
            </w:r>
          </w:p>
        </w:tc>
        <w:tc>
          <w:tcPr>
            <w:tcW w:w="1063" w:type="dxa"/>
            <w:tcBorders>
              <w:top w:val="single" w:sz="4" w:space="0" w:color="000000"/>
              <w:start w:val="single" w:sz="4" w:space="0" w:color="000000"/>
              <w:bottom w:val="single" w:sz="4" w:space="0" w:color="000000"/>
            </w:tcBorders>
          </w:tcPr>
          <w:p>
            <w:pPr>
              <w:pStyle w:val="Obsahtabuky"/>
              <w:bidi w:val="0"/>
              <w:jc w:val="end"/>
              <w:rPr>
                <w:b w:val="false"/>
                <w:bCs w:val="false"/>
                <w:i w:val="false"/>
                <w:i w:val="false"/>
                <w:iCs w:val="false"/>
                <w:strike w:val="false"/>
                <w:dstrike w:val="false"/>
                <w:outline w:val="false"/>
                <w:shadow w:val="false"/>
                <w:color w:val="000000"/>
                <w:sz w:val="26"/>
                <w:szCs w:val="26"/>
                <w:u w:val="none"/>
              </w:rPr>
            </w:pPr>
            <w:r>
              <w:rPr>
                <w:b w:val="false"/>
                <w:bCs w:val="false"/>
                <w:i w:val="false"/>
                <w:iCs w:val="false"/>
                <w:strike w:val="false"/>
                <w:dstrike w:val="false"/>
                <w:outline w:val="false"/>
                <w:shadow w:val="false"/>
                <w:color w:val="000000"/>
                <w:sz w:val="26"/>
                <w:szCs w:val="26"/>
                <w:u w:val="none"/>
              </w:rPr>
              <w:t>DIČ</w:t>
            </w:r>
          </w:p>
        </w:tc>
        <w:tc>
          <w:tcPr>
            <w:tcW w:w="29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30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0</w:t>
            </w:r>
          </w:p>
        </w:tc>
        <w:tc>
          <w:tcPr>
            <w:tcW w:w="29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259"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95"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7</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6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9</w:t>
            </w:r>
          </w:p>
        </w:tc>
        <w:tc>
          <w:tcPr>
            <w:tcW w:w="271" w:type="dxa"/>
            <w:tcBorders>
              <w:top w:val="single" w:sz="4" w:space="0" w:color="000000"/>
              <w:start w:val="single" w:sz="4" w:space="0" w:color="000000"/>
              <w:bottom w:val="single" w:sz="4" w:space="0" w:color="000000"/>
              <w:end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6</w:t>
            </w:r>
          </w:p>
        </w:tc>
      </w:tr>
    </w:tbl>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b. Zásoby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Nakupované zásoby rovnakého druhu sú na sklad účtované v obstarávacích cenách. Zásoby obstarané bezodplatne, nájdené (prebytky zásob) sa ocenia reálnou hodnotou. Toto ocenenie zásob sa upravuje o zníženie hodnoty zásob (tvorbou opravnej položky) zistené inventarizáciou. Pri vyskladnení zásob sa používal vážený aritmetický priemer z obstarávacích cien.</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c. Pohľadávky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Pohľadávky sa pri ich vzniku oceňujú ich menovitou hodnotou. Postúpené pohľadávky a pohľadávky nadobudnuté vkladom do základného imania sa oceňujú obstarávacou cenou vrátane nákladov súvisiacich s obstaraním. Toto ocenenie sa znižuje tvorbou opravnej položky.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v tomto zdaňovacom období netvorila opravné položky k pohľadávkam.</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d. Krátkodobý finančný majetok</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Peňažné prostriedky a ceniny sa oceňujú ich menovitou hodnotou. Zníženie ich hodnoty sa vyjadruje opravnou položkou.</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netvorila opravné položky k peňažným prostriedkom a ceninám.</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e. Záväzky vrátane rezerv, dlhopisov, pôžičiek a úverov</w:t>
      </w:r>
    </w:p>
    <w:p>
      <w:pPr>
        <w:pStyle w:val="Normal"/>
        <w:bidi w:val="0"/>
        <w:jc w:val="start"/>
        <w:rPr/>
      </w:pPr>
      <w:r>
        <w:rPr>
          <w:rFonts w:cs="Times New Roman" w:ascii="Times New Roman" w:hAnsi="Times New Roman"/>
          <w:b w:val="false"/>
          <w:i w:val="false"/>
          <w:color w:val="000000"/>
          <w:kern w:val="2"/>
          <w:sz w:val="22"/>
          <w:szCs w:val="22"/>
        </w:rPr>
        <w:t>Spoločnosť netvorila rezervu na zostavenie účtovnej závierky. Oceňujú sa v očakávanej výške záväzku. Záväzky pri ich vzniku sa oceňujú menovitou hodnotou. Záväzky pri ich prevzatí sa oceňujú obstarávacou cenou. Ak sa pri inventarizácii zistí, že suma záväzkov je iná ako ich výška v účtovníctve, uvedú sa záväzky v účtovníctve a v účtovnej závierke v tomto zistenom ocenení.</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3.    Spôsob zostavenia odpisového plánu pre jednotlivé druhy dlhodobého hmotného majetku a dlhodobého nehmotného majetku, pričom sa uvádza doba odpisovania, použité sadzby odpisov a odpisové metódy pri určení odpisov:</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nevlastnila dlhodobý majetok, a nemá vytvorený odpisový plán.</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4.    Zmeny účtovných zásad a zmeny účtovných metód s uvedením dôvodu týchto zmien a vyčíslením ich vplyvu na finančnú hodnotu majetku, záväzkov, základného imania a výsledku hospodárenia účtovnej jednotky: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Účtovné metódy a všeobecné účtovné zásady boli účtovnou jednotkou konzistentne aplikované.</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5.    Informácie o dotáciách a ich oceňovanie v účtovníctve:</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Spoločnosti neboli poskytnuté žiadne dotácie</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6.    Informácie o účtovaní významných opráv chýb minulých účtovných období v bežnom účtovnom období s uvedením vplyvu na nerozdelený zisk minulých rokov alebo neuhradenú stratu minulých rokov; súčasne sa môže uviesť aj účtovanie nevýznamných chýb minulých účtovných období v bežnom účtovnom období s uvedením vplyvu na výsledok hospodárenia bežného účtovného obdobia:</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nevykonala žiadne opravy významných chýb minulých účtovných období.</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Liberation Serif;Times New Roman" w:hAnsi="Liberation Serif;Times New Roman" w:cs="Liberation Serif;Times New Roman"/>
          <w:b/>
          <w:i w:val="false"/>
          <w:i w:val="false"/>
          <w:color w:val="000000"/>
          <w:kern w:val="2"/>
          <w:sz w:val="22"/>
          <w:szCs w:val="22"/>
        </w:rPr>
      </w:pPr>
      <w:r>
        <w:rPr>
          <w:rFonts w:cs="Liberation Serif;Times New Roman" w:ascii="Liberation Serif;Times New Roman" w:hAnsi="Liberation Serif;Times New Roman"/>
          <w:b/>
          <w:i w:val="false"/>
          <w:color w:val="000000"/>
          <w:kern w:val="2"/>
          <w:sz w:val="22"/>
          <w:szCs w:val="22"/>
        </w:rPr>
        <w:t>C. INFORMÁCIE, KTORÉ VYSVETĽUJÚ A DOPĹŇAJÚ SÚVAHU A VÝKAZ ZISKOV A STRÁT</w:t>
      </w:r>
    </w:p>
    <w:p>
      <w:pPr>
        <w:pStyle w:val="Normal"/>
        <w:bidi w:val="0"/>
        <w:jc w:val="start"/>
        <w:rPr>
          <w:rFonts w:ascii="Liberation Serif;Times New Roman" w:hAnsi="Liberation Serif;Times New Roman" w:cs="Liberation Serif;Times New Roman"/>
          <w:b/>
          <w:i w:val="false"/>
          <w:i w:val="false"/>
          <w:color w:val="000000"/>
          <w:kern w:val="2"/>
          <w:sz w:val="22"/>
          <w:szCs w:val="22"/>
        </w:rPr>
      </w:pPr>
      <w:r>
        <w:rPr>
          <w:rFonts w:cs="Liberation Serif;Times New Roman" w:ascii="Liberation Serif;Times New Roman" w:hAnsi="Liberation Serif;Times New Roman"/>
          <w:b/>
          <w:i w:val="false"/>
          <w:color w:val="000000"/>
          <w:kern w:val="2"/>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1.    Informácia o sume a dôvodoch vzniku jednotlivých položiek nákladov alebo výnosov, ktoré majú výnimočný rozsah alebo výskyt, napríklad výnosy z predaja podniku alebo časti podniku, náklady z dôvodu predaja podniku alebo časti podniku, škody z dôvodu živelných pohrôm:</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V spoločnosti nevznikli náklady ani výnosy, ktoré majú výnimočný rozsah alebo výskyt.</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2.    Informácie o záväzkoch, a to:</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 celkovej sume záväzkov so zostatkovou dobou splatnosti dlhšou ako 5 rokov:</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vykazuje záväzky so zostatkovou dobou splatnosti dlhšou ako 5 rokov.</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b. celkovej sume zabezpečených záväzkov, opis a spôsoby zabezpečenia záväzkov:</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vykazuje zabezpečené záväzky.</w:t>
      </w:r>
    </w:p>
    <w:p>
      <w:pPr>
        <w:sectPr>
          <w:type w:val="nextPage"/>
          <w:pgSz w:w="11906" w:h="16838"/>
          <w:pgMar w:left="1134" w:right="1134" w:gutter="0" w:header="0" w:top="1134" w:footer="0" w:bottom="1134"/>
          <w:pgNumType w:fmt="decimal"/>
          <w:formProt w:val="false"/>
          <w:textDirection w:val="lrTb"/>
          <w:docGrid w:type="default" w:linePitch="312" w:charSpace="4294960742"/>
        </w:sect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tbl>
      <w:tblPr>
        <w:tblW w:w="9763" w:type="dxa"/>
        <w:jc w:val="start"/>
        <w:tblInd w:w="-5" w:type="dxa"/>
        <w:tblLayout w:type="fixed"/>
        <w:tblCellMar>
          <w:top w:w="55" w:type="dxa"/>
          <w:start w:w="55" w:type="dxa"/>
          <w:bottom w:w="55" w:type="dxa"/>
          <w:end w:w="55" w:type="dxa"/>
        </w:tblCellMar>
      </w:tblPr>
      <w:tblGrid>
        <w:gridCol w:w="1760"/>
        <w:gridCol w:w="1987"/>
        <w:gridCol w:w="333"/>
        <w:gridCol w:w="280"/>
        <w:gridCol w:w="293"/>
        <w:gridCol w:w="227"/>
        <w:gridCol w:w="280"/>
        <w:gridCol w:w="270"/>
        <w:gridCol w:w="295"/>
        <w:gridCol w:w="248"/>
        <w:gridCol w:w="1063"/>
        <w:gridCol w:w="296"/>
        <w:gridCol w:w="306"/>
        <w:gridCol w:w="296"/>
        <w:gridCol w:w="259"/>
        <w:gridCol w:w="295"/>
        <w:gridCol w:w="248"/>
        <w:gridCol w:w="260"/>
        <w:gridCol w:w="248"/>
        <w:gridCol w:w="248"/>
        <w:gridCol w:w="271"/>
      </w:tblGrid>
      <w:tr>
        <w:trPr>
          <w:trHeight w:val="453" w:hRule="atLeast"/>
          <w:cantSplit w:val="true"/>
        </w:trPr>
        <w:tc>
          <w:tcPr>
            <w:tcW w:w="1760" w:type="dxa"/>
            <w:tcBorders>
              <w:top w:val="single" w:sz="4" w:space="0" w:color="000000"/>
              <w:start w:val="single" w:sz="4" w:space="0" w:color="000000"/>
              <w:bottom w:val="single" w:sz="4" w:space="0" w:color="000000"/>
            </w:tcBorders>
          </w:tcPr>
          <w:p>
            <w:pPr>
              <w:pStyle w:val="Normal"/>
              <w:bidi w:val="0"/>
              <w:ind w:end="-227"/>
              <w:jc w:val="start"/>
              <w:rPr>
                <w:rFonts w:ascii="ArialNarrow" w:hAnsi="ArialNarrow" w:cs="ArialNarrow"/>
                <w:b w:val="false"/>
                <w:bCs w:val="false"/>
                <w:i w:val="false"/>
                <w:i w:val="false"/>
                <w:iCs w:val="false"/>
                <w:strike w:val="false"/>
                <w:dstrike w:val="false"/>
                <w:outline w:val="false"/>
                <w:shadow w:val="false"/>
                <w:color w:val="000000"/>
                <w:kern w:val="2"/>
                <w:sz w:val="22"/>
                <w:szCs w:val="22"/>
                <w:u w:val="none"/>
              </w:rPr>
            </w:pPr>
            <w:r>
              <w:rPr>
                <w:rFonts w:cs="ArialNarrow" w:ascii="ArialNarrow" w:hAnsi="ArialNarrow"/>
                <w:b w:val="false"/>
                <w:bCs w:val="false"/>
                <w:i w:val="false"/>
                <w:iCs w:val="false"/>
                <w:strike w:val="false"/>
                <w:dstrike w:val="false"/>
                <w:outline w:val="false"/>
                <w:shadow w:val="false"/>
                <w:color w:val="000000"/>
                <w:kern w:val="2"/>
                <w:sz w:val="22"/>
                <w:szCs w:val="22"/>
                <w:u w:val="none"/>
              </w:rPr>
              <w:t xml:space="preserve">Poznámky Úč MÚJ </w:t>
            </w:r>
          </w:p>
        </w:tc>
        <w:tc>
          <w:tcPr>
            <w:tcW w:w="1987" w:type="dxa"/>
            <w:tcBorders>
              <w:top w:val="single" w:sz="4" w:space="0" w:color="000000"/>
              <w:start w:val="single" w:sz="4" w:space="0" w:color="000000"/>
              <w:bottom w:val="single" w:sz="4" w:space="0" w:color="000000"/>
            </w:tcBorders>
          </w:tcPr>
          <w:p>
            <w:pPr>
              <w:pStyle w:val="Obsahtabuky"/>
              <w:bidi w:val="0"/>
              <w:jc w:val="end"/>
              <w:rPr>
                <w:b w:val="false"/>
                <w:bCs w:val="false"/>
                <w:i w:val="false"/>
                <w:i w:val="false"/>
                <w:iCs w:val="false"/>
                <w:strike w:val="false"/>
                <w:dstrike w:val="false"/>
                <w:outline w:val="false"/>
                <w:shadow w:val="false"/>
                <w:color w:val="000000"/>
                <w:sz w:val="26"/>
                <w:szCs w:val="26"/>
                <w:u w:val="none"/>
              </w:rPr>
            </w:pPr>
            <w:r>
              <w:rPr>
                <w:b w:val="false"/>
                <w:bCs w:val="false"/>
                <w:i w:val="false"/>
                <w:iCs w:val="false"/>
                <w:strike w:val="false"/>
                <w:dstrike w:val="false"/>
                <w:outline w:val="false"/>
                <w:shadow w:val="false"/>
                <w:color w:val="000000"/>
                <w:sz w:val="26"/>
                <w:szCs w:val="26"/>
                <w:u w:val="none"/>
              </w:rPr>
              <w:t>IČO</w:t>
            </w:r>
          </w:p>
        </w:tc>
        <w:tc>
          <w:tcPr>
            <w:tcW w:w="333"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3</w:t>
            </w:r>
          </w:p>
        </w:tc>
        <w:tc>
          <w:tcPr>
            <w:tcW w:w="28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6</w:t>
            </w:r>
          </w:p>
        </w:tc>
        <w:tc>
          <w:tcPr>
            <w:tcW w:w="293"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27"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8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7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5</w:t>
            </w:r>
          </w:p>
        </w:tc>
        <w:tc>
          <w:tcPr>
            <w:tcW w:w="295"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3</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8</w:t>
            </w:r>
          </w:p>
        </w:tc>
        <w:tc>
          <w:tcPr>
            <w:tcW w:w="1063" w:type="dxa"/>
            <w:tcBorders>
              <w:top w:val="single" w:sz="4" w:space="0" w:color="000000"/>
              <w:start w:val="single" w:sz="4" w:space="0" w:color="000000"/>
              <w:bottom w:val="single" w:sz="4" w:space="0" w:color="000000"/>
            </w:tcBorders>
          </w:tcPr>
          <w:p>
            <w:pPr>
              <w:pStyle w:val="Obsahtabuky"/>
              <w:bidi w:val="0"/>
              <w:jc w:val="end"/>
              <w:rPr>
                <w:b w:val="false"/>
                <w:bCs w:val="false"/>
                <w:i w:val="false"/>
                <w:i w:val="false"/>
                <w:iCs w:val="false"/>
                <w:strike w:val="false"/>
                <w:dstrike w:val="false"/>
                <w:outline w:val="false"/>
                <w:shadow w:val="false"/>
                <w:color w:val="000000"/>
                <w:sz w:val="26"/>
                <w:szCs w:val="26"/>
                <w:u w:val="none"/>
              </w:rPr>
            </w:pPr>
            <w:r>
              <w:rPr>
                <w:b w:val="false"/>
                <w:bCs w:val="false"/>
                <w:i w:val="false"/>
                <w:iCs w:val="false"/>
                <w:strike w:val="false"/>
                <w:dstrike w:val="false"/>
                <w:outline w:val="false"/>
                <w:shadow w:val="false"/>
                <w:color w:val="000000"/>
                <w:sz w:val="26"/>
                <w:szCs w:val="26"/>
                <w:u w:val="none"/>
              </w:rPr>
              <w:t>DIČ</w:t>
            </w:r>
          </w:p>
        </w:tc>
        <w:tc>
          <w:tcPr>
            <w:tcW w:w="29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30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0</w:t>
            </w:r>
          </w:p>
        </w:tc>
        <w:tc>
          <w:tcPr>
            <w:tcW w:w="296"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259"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95"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7</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60"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1</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2</w:t>
            </w:r>
          </w:p>
        </w:tc>
        <w:tc>
          <w:tcPr>
            <w:tcW w:w="248" w:type="dxa"/>
            <w:tcBorders>
              <w:top w:val="single" w:sz="4" w:space="0" w:color="000000"/>
              <w:start w:val="single" w:sz="4" w:space="0" w:color="000000"/>
              <w:bottom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9</w:t>
            </w:r>
          </w:p>
        </w:tc>
        <w:tc>
          <w:tcPr>
            <w:tcW w:w="271" w:type="dxa"/>
            <w:tcBorders>
              <w:top w:val="single" w:sz="4" w:space="0" w:color="000000"/>
              <w:start w:val="single" w:sz="4" w:space="0" w:color="000000"/>
              <w:bottom w:val="single" w:sz="4" w:space="0" w:color="000000"/>
              <w:end w:val="single" w:sz="4" w:space="0" w:color="000000"/>
            </w:tcBorders>
          </w:tcPr>
          <w:p>
            <w:pPr>
              <w:pStyle w:val="Obsahtabuky"/>
              <w:bidi w:val="0"/>
              <w:jc w:val="start"/>
              <w:rPr>
                <w:b/>
                <w:bCs/>
                <w:i w:val="false"/>
                <w:i w:val="false"/>
                <w:iCs w:val="false"/>
                <w:strike w:val="false"/>
                <w:dstrike w:val="false"/>
                <w:outline w:val="false"/>
                <w:shadow w:val="false"/>
                <w:color w:val="000000"/>
                <w:sz w:val="26"/>
                <w:szCs w:val="26"/>
                <w:u w:val="none"/>
              </w:rPr>
            </w:pPr>
            <w:r>
              <w:rPr>
                <w:b/>
                <w:bCs/>
                <w:i w:val="false"/>
                <w:iCs w:val="false"/>
                <w:strike w:val="false"/>
                <w:dstrike w:val="false"/>
                <w:outline w:val="false"/>
                <w:shadow w:val="false"/>
                <w:color w:val="000000"/>
                <w:sz w:val="26"/>
                <w:szCs w:val="26"/>
                <w:u w:val="none"/>
              </w:rPr>
              <w:t>6</w:t>
            </w:r>
          </w:p>
        </w:tc>
      </w:tr>
    </w:tbl>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3.    Informácie o vlastných akciách</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 Spoločnosť nevykazuje vlastné akcie.</w:t>
      </w:r>
    </w:p>
    <w:p>
      <w:pPr>
        <w:pStyle w:val="Normal"/>
        <w:bidi w:val="0"/>
        <w:jc w:val="start"/>
        <w:rPr>
          <w:rFonts w:ascii="Liberation Serif;Times New Roman" w:hAnsi="Liberation Serif;Times New Roman" w:cs="Liberation Serif;Times New Roman"/>
          <w:sz w:val="22"/>
          <w:szCs w:val="22"/>
        </w:rPr>
      </w:pPr>
      <w:r>
        <w:rPr>
          <w:rFonts w:cs="Liberation Serif;Times New Roman" w:ascii="Liberation Serif;Times New Roman" w:hAnsi="Liberation Serif;Times New Roman"/>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4.    Informácie o orgánoch účtovnej jednotky, a to:</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a. výške jednotlivých druhov záruk alebo iných zabezpečení poskytnutých pre členov štatutárneho orgánu, dozorného orgánu a iného orgánu účtovnej jednotky, a to v členení za jednotlivé orgány: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neeviduje.</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b. pôžičkách poskytnutých členom štatutárneho orgánu, dozorného orgánu a iného orgánu účtovnej jednotky a to - celková suma poskytnutých pôžičiek k poslednému dňu účtovného obdobia v členení za jednotlivé orgány a celková suma splatených pôžičiek k poslednému dňu účtovného obdobia v členení za jednotlivé orgány a celková suma odpustených pôžičiek a odpísaných pôžičiek k poslednému dňu účtovného obdobia v členení za jednotlivé orgány: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neposkytla žiadne pôžičky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c. hlavných podmienkach, na základe ktorých im boli záruky alebo iné zabezpečenie a pôžičky poskytnuté; pri pôžičkách sa uvádzajú úrokové sadzby: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neeviduje.</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d. celkovej sume použitých finančných prostriedkov alebo iného plnenia na súkromné účely členmi štatutárneho orgánu, dozorného orgánu a iného orgánu účtovnej jednotky, ktoré je potrebné vyúčtovať:</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neeviduje.</w:t>
      </w:r>
    </w:p>
    <w:p>
      <w:pPr>
        <w:pStyle w:val="Normal"/>
        <w:bidi w:val="0"/>
        <w:jc w:val="start"/>
        <w:rPr>
          <w:rFonts w:ascii="Times New Roman" w:hAnsi="Times New Roman" w:cs="Times New Roman"/>
          <w:sz w:val="22"/>
          <w:szCs w:val="22"/>
        </w:rPr>
      </w:pPr>
      <w:r>
        <w:rPr>
          <w:rFonts w:cs="Times New Roman" w:ascii="Times New Roman" w:hAnsi="Times New Roman"/>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5.    Informácie o povinnostiach účtovnej jednotky, a to:</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a. celkovej sume finančných povinností, ktoré sa nevykazujú v súvahe, ale sú významné na posúdenie finančnej situácie účtovnej jednotky, napríklad povinnosti nájomcu vyplývajúce z operatívneho prenájmu, z uzatvorených zmlúv na poskytnutie úveru alebo pôžičky, ktoré ešte neboli poskytnuté, finančné povinnosti vyplývajúce z licenčných a koncesionárskych zmlúv s uvedením sumy poplatku za celé zostávajúce obdobie platnosti zmluvy: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neeviduje finančné povinnosti, ktoré sa nevykazujú v súvahe.</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b. celkovej sume významných podmienených záväzkov, ktorými sa rozumie možná povinnosť, ktorá vznikla ako dôsledok minulej udalosti a ktorej existencia závisí od toho, či nastane alebo nenastane jedna alebo viac neistých udalostí v budúcnosti, ktorých vznik nezávisí od účtovnej jednotky, alebo existujúca povinnosť, ktorá vznikla ako dôsledok minulej udalosti, ale ktorá sa nevykazuje v súvahe, pretože nie je pravdepodobné, že na splnenie tejto povinnosti bude potrebný úbytok ekonomických úžitkov, alebo výška tejto povinnosti sa nedá spoľahlivo oceniť:</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neeviduje podmienkové záväzky.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c. opise významných finančných povinností a významných podmienených záväzkov:</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neeviduje významné finančné povinnosti.</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d. celkovej sume významných finančných povinností a významných podmienených záväzkoch voči dcérskej účtovnej jednotke a účtovnej jednotke s podstatným vplyvom:</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neeviduje.</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ab/>
        <w:t>e. opise významných povinností účtovnej jednotky vyplývajúcich z dôchodkových programov pre zamestnancov:</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Spoločnosť neposkytla účasť na dôchodkovom programe pre zamestnancov.</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6.    Informácie o udelení výlučného práva alebo osobitného práva, ktorým sa udelilo právo poskytovať služby vo verejnom záujme, pričom sa uvádza náhrada za túto činnosť v akejkoľvek forme, a ak sa zároveň vykonávajú aj iné činnosti, uvádzajú sa aj informácie o všetkých formách prijatej náhrady, účtovných zásadách použitých pri prideľovaní nákladov a výnosov, všetkých druhoch činnosti účtovnej jednotky:</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t>Spoločnosti nebolo udelené výlučné právo alebo osobitného práva, ktorým sa udelilo právo poskytovať služby vo verejnom záujme.</w:t>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p>
      <w:pPr>
        <w:pStyle w:val="Normal"/>
        <w:bidi w:val="0"/>
        <w:jc w:val="start"/>
        <w:rPr>
          <w:rFonts w:ascii="Times New Roman" w:hAnsi="Times New Roman" w:cs="Times New Roman"/>
          <w:b w:val="false"/>
          <w:i w:val="false"/>
          <w:i w:val="false"/>
          <w:color w:val="000000"/>
          <w:kern w:val="2"/>
          <w:sz w:val="22"/>
          <w:szCs w:val="22"/>
        </w:rPr>
      </w:pPr>
      <w:r>
        <w:rPr>
          <w:rFonts w:cs="Times New Roman" w:ascii="Times New Roman" w:hAnsi="Times New Roman"/>
          <w:b w:val="false"/>
          <w:i w:val="false"/>
          <w:color w:val="000000"/>
          <w:kern w:val="2"/>
          <w:sz w:val="22"/>
          <w:szCs w:val="22"/>
        </w:rPr>
      </w:r>
    </w:p>
    <w:sectPr>
      <w:type w:val="nextPage"/>
      <w:pgSz w:w="11906" w:h="16838"/>
      <w:pgMar w:left="1134" w:right="1134" w:gutter="0" w:header="0" w:top="1134" w:footer="0" w:bottom="1134"/>
      <w:pgNumType w:fmt="decimal"/>
      <w:formProt w:val="false"/>
      <w:textDirection w:val="lrTb"/>
      <w:docGrid w:type="default" w:linePitch="312" w:charSpace="429496074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Liberation Sans">
    <w:altName w:val="Arial"/>
    <w:charset w:val="ee" w:characterSet="windows-1250"/>
    <w:family w:val="swiss"/>
    <w:pitch w:val="variable"/>
  </w:font>
  <w:font w:name="ArialNarrow">
    <w:charset w:val="ee" w:characterSet="windows-1250"/>
    <w:family w:val="swiss"/>
    <w:pitch w:val="variable"/>
  </w:font>
  <w:font w:name="Liberation Serif">
    <w:altName w:val="Times New Roman"/>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sk-SK"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Lucida Sans"/>
      <w:color w:val="auto"/>
      <w:kern w:val="2"/>
      <w:sz w:val="24"/>
      <w:szCs w:val="24"/>
      <w:lang w:val="sk-SK" w:eastAsia="zh-CN" w:bidi="hi-IN"/>
    </w:rPr>
  </w:style>
  <w:style w:type="paragraph" w:styleId="Nadpis">
    <w:name w:val="Nadpis"/>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egister">
    <w:name w:val="Register"/>
    <w:basedOn w:val="Normal"/>
    <w:qFormat/>
    <w:pPr>
      <w:suppressLineNumbers/>
    </w:pPr>
    <w:rPr>
      <w:rFonts w:cs="Lucida Sans"/>
    </w:rPr>
  </w:style>
  <w:style w:type="paragraph" w:styleId="Obsahtabuky">
    <w:name w:val="Obsah tabuľky"/>
    <w:basedOn w:val="Normal"/>
    <w:qFormat/>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LibreOffice/24.2.2.2$Windows_X86_64 LibreOffice_project/d56cc158d8a96260b836f100ef4b4ef25d6f1a01</Application>
  <AppVersion>15.0000</AppVersion>
  <Pages>3</Pages>
  <Words>1328</Words>
  <Characters>8159</Characters>
  <CharactersWithSpaces>9402</CharactersWithSpaces>
  <Paragraphs>148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2025-06-29T07:31:58Z</dcterms:created>
  <dc:creator/>
  <dc:description/>
  <dc:language>sk-SK</dc:language>
  <cp:lastModifiedBy/>
  <dcterms:modified xsi:type="dcterms:W3CDTF">2025-06-29T07:33:02Z</dcterms:modified>
  <cp:revision>1</cp:revision>
  <dc:subject/>
  <dc:title/>
</cp:coreProperties>
</file>